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41" w:rsidRDefault="00180C13" w:rsidP="00180C13">
      <w:pPr>
        <w:jc w:val="center"/>
        <w:rPr>
          <w:rFonts w:ascii="Arial Narrow" w:hAnsi="Arial Narrow" w:cs="Arial"/>
          <w:b/>
          <w:lang w:val="el-GR"/>
        </w:rPr>
      </w:pPr>
      <w:r>
        <w:rPr>
          <w:rFonts w:ascii="Arial Narrow" w:hAnsi="Arial Narrow" w:cs="Arial"/>
          <w:b/>
          <w:lang w:val="el-GR"/>
        </w:rPr>
        <w:t>ΠΙΝΑΚΑΣ ΣΥΜΜΟΡΦΩΣΗΣ</w:t>
      </w:r>
    </w:p>
    <w:p w:rsidR="00180C13" w:rsidRDefault="00180C13" w:rsidP="00180C13">
      <w:pPr>
        <w:rPr>
          <w:rFonts w:ascii="Arial Narrow" w:hAnsi="Arial Narrow" w:cs="Arial"/>
          <w:b/>
          <w:lang w:val="el-GR"/>
        </w:rPr>
      </w:pPr>
    </w:p>
    <w:tbl>
      <w:tblPr>
        <w:tblStyle w:val="a5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1276"/>
        <w:gridCol w:w="1427"/>
        <w:gridCol w:w="1408"/>
      </w:tblGrid>
      <w:tr w:rsidR="00180C13" w:rsidRPr="00720DE6" w:rsidTr="00E92114">
        <w:trPr>
          <w:trHeight w:val="255"/>
        </w:trPr>
        <w:tc>
          <w:tcPr>
            <w:tcW w:w="852" w:type="dxa"/>
            <w:tcBorders>
              <w:right w:val="nil"/>
            </w:tcBorders>
            <w:shd w:val="clear" w:color="auto" w:fill="8EAADB" w:themeFill="accent5" w:themeFillTint="99"/>
            <w:noWrap/>
            <w:vAlign w:val="center"/>
          </w:tcPr>
          <w:p w:rsidR="00180C13" w:rsidRPr="00720DE6" w:rsidRDefault="00180C13" w:rsidP="00E9211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180C13" w:rsidRPr="00720DE6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  <w:r w:rsidRPr="00720DE6">
              <w:rPr>
                <w:rFonts w:asciiTheme="minorHAnsi" w:hAnsiTheme="minorHAnsi" w:cs="Arial"/>
                <w:b/>
                <w:bCs/>
                <w:lang w:val="el-GR"/>
              </w:rPr>
              <w:t>ΔΙΑΚΗΡΥΞΗ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8EAADB" w:themeFill="accent5" w:themeFillTint="99"/>
            <w:noWrap/>
            <w:vAlign w:val="center"/>
          </w:tcPr>
          <w:p w:rsidR="00180C13" w:rsidRPr="00720DE6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7" w:type="dxa"/>
            <w:tcBorders>
              <w:right w:val="nil"/>
            </w:tcBorders>
            <w:shd w:val="clear" w:color="auto" w:fill="8EAADB" w:themeFill="accent5" w:themeFillTint="99"/>
            <w:noWrap/>
            <w:vAlign w:val="center"/>
          </w:tcPr>
          <w:p w:rsidR="00180C13" w:rsidRPr="00720DE6" w:rsidRDefault="00180C13" w:rsidP="00E92114">
            <w:pPr>
              <w:rPr>
                <w:rFonts w:asciiTheme="minorHAnsi" w:hAnsiTheme="minorHAnsi" w:cs="Arial"/>
                <w:b/>
                <w:bCs/>
                <w:lang w:val="el-GR"/>
              </w:rPr>
            </w:pPr>
            <w:r w:rsidRPr="00720DE6">
              <w:rPr>
                <w:rFonts w:asciiTheme="minorHAnsi" w:hAnsiTheme="minorHAnsi" w:cs="Arial"/>
                <w:b/>
                <w:bCs/>
                <w:lang w:val="el-GR"/>
              </w:rPr>
              <w:t>ΠΡΟΣΦΟΡΑ</w:t>
            </w:r>
          </w:p>
        </w:tc>
        <w:tc>
          <w:tcPr>
            <w:tcW w:w="1408" w:type="dxa"/>
            <w:tcBorders>
              <w:left w:val="nil"/>
            </w:tcBorders>
            <w:shd w:val="clear" w:color="auto" w:fill="8EAADB" w:themeFill="accent5" w:themeFillTint="99"/>
            <w:vAlign w:val="center"/>
          </w:tcPr>
          <w:p w:rsidR="00180C13" w:rsidRPr="00720DE6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</w:rPr>
            </w:pPr>
            <w:r w:rsidRPr="00363FA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5811" w:type="dxa"/>
            <w:hideMark/>
          </w:tcPr>
          <w:p w:rsidR="00180C13" w:rsidRPr="007A5D2F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  <w:r w:rsidRPr="00720DE6">
              <w:rPr>
                <w:rFonts w:asciiTheme="minorHAnsi" w:hAnsiTheme="minorHAnsi" w:cs="Arial"/>
                <w:b/>
                <w:bCs/>
                <w:lang w:val="el-GR"/>
              </w:rPr>
              <w:t xml:space="preserve">Άδειες χρήσης διαδικτυακών υπηρεσιών αποστολής και λήψης </w:t>
            </w:r>
            <w:proofErr w:type="spellStart"/>
            <w:r w:rsidRPr="00720DE6">
              <w:rPr>
                <w:rFonts w:asciiTheme="minorHAnsi" w:hAnsiTheme="minorHAnsi" w:cs="Arial"/>
                <w:b/>
                <w:bCs/>
                <w:lang w:val="el-GR"/>
              </w:rPr>
              <w:t>πολυμεσικού</w:t>
            </w:r>
            <w:proofErr w:type="spellEnd"/>
            <w:r w:rsidRPr="00720DE6">
              <w:rPr>
                <w:rFonts w:asciiTheme="minorHAnsi" w:hAnsiTheme="minorHAnsi" w:cs="Arial"/>
                <w:b/>
                <w:bCs/>
                <w:lang w:val="el-GR"/>
              </w:rPr>
              <w:t xml:space="preserve"> υλικού μεγάλου όγκου</w:t>
            </w:r>
            <w:r>
              <w:rPr>
                <w:rFonts w:asciiTheme="minorHAnsi" w:hAnsiTheme="minorHAnsi" w:cs="Arial"/>
                <w:b/>
                <w:bCs/>
                <w:lang w:val="el-GR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Signiant</w:t>
            </w:r>
            <w:r w:rsidRPr="007A5D2F">
              <w:rPr>
                <w:rFonts w:asciiTheme="minorHAnsi" w:hAnsiTheme="minorHAnsi" w:cs="Arial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Media</w:t>
            </w:r>
            <w:r w:rsidRPr="007A5D2F">
              <w:rPr>
                <w:rFonts w:asciiTheme="minorHAnsi" w:hAnsiTheme="minorHAnsi" w:cs="Arial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Shuttle</w:t>
            </w:r>
            <w:r w:rsidRPr="007A5D2F">
              <w:rPr>
                <w:rFonts w:asciiTheme="minorHAnsi" w:hAnsiTheme="minorHAnsi" w:cs="Arial"/>
                <w:b/>
                <w:bCs/>
                <w:lang w:val="el-GR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  <w:r w:rsidRPr="00363FAE">
              <w:rPr>
                <w:rFonts w:asciiTheme="minorHAnsi" w:hAnsiTheme="minorHAnsi" w:cs="Arial"/>
                <w:b/>
                <w:bCs/>
              </w:rPr>
              <w:t>Απα</w:t>
            </w:r>
            <w:proofErr w:type="spellStart"/>
            <w:r w:rsidRPr="00363FAE">
              <w:rPr>
                <w:rFonts w:asciiTheme="minorHAnsi" w:hAnsiTheme="minorHAnsi" w:cs="Arial"/>
                <w:b/>
                <w:bCs/>
              </w:rPr>
              <w:t>ίτηση</w:t>
            </w:r>
            <w:proofErr w:type="spellEnd"/>
          </w:p>
        </w:tc>
        <w:tc>
          <w:tcPr>
            <w:tcW w:w="1427" w:type="dxa"/>
            <w:noWrap/>
            <w:hideMark/>
          </w:tcPr>
          <w:p w:rsidR="00180C13" w:rsidRPr="007A5D2F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lang w:val="el-GR"/>
              </w:rPr>
              <w:t>Απάντηση Προσφέροντα</w:t>
            </w: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3FAE">
              <w:rPr>
                <w:rFonts w:asciiTheme="minorHAnsi" w:hAnsiTheme="minorHAnsi" w:cs="Arial"/>
                <w:b/>
                <w:bCs/>
              </w:rPr>
              <w:t>Παραπ</w:t>
            </w:r>
            <w:proofErr w:type="spellStart"/>
            <w:r w:rsidRPr="00363FAE">
              <w:rPr>
                <w:rFonts w:asciiTheme="minorHAnsi" w:hAnsiTheme="minorHAnsi" w:cs="Arial"/>
                <w:b/>
                <w:bCs/>
              </w:rPr>
              <w:t>ομ</w:t>
            </w:r>
            <w:proofErr w:type="spellEnd"/>
            <w:r w:rsidRPr="00363FAE">
              <w:rPr>
                <w:rFonts w:asciiTheme="minorHAnsi" w:hAnsiTheme="minorHAnsi" w:cs="Arial"/>
                <w:b/>
                <w:bCs/>
              </w:rPr>
              <w:t>πές</w:t>
            </w: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</w:rPr>
            </w:pPr>
            <w:r w:rsidRPr="00363FAE">
              <w:rPr>
                <w:rFonts w:asciiTheme="minorHAnsi" w:hAnsiTheme="minorHAnsi" w:cs="Calibri"/>
                <w:b/>
                <w:bCs/>
                <w:color w:val="000000"/>
              </w:rPr>
              <w:t>Α.0</w:t>
            </w:r>
          </w:p>
        </w:tc>
        <w:tc>
          <w:tcPr>
            <w:tcW w:w="5811" w:type="dxa"/>
            <w:shd w:val="clear" w:color="auto" w:fill="8EAADB" w:themeFill="accent5" w:themeFillTint="99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63FAE">
              <w:rPr>
                <w:rFonts w:asciiTheme="minorHAnsi" w:hAnsiTheme="minorHAnsi" w:cs="Arial"/>
                <w:b/>
                <w:bCs/>
              </w:rPr>
              <w:t>Γενικοί</w:t>
            </w:r>
            <w:proofErr w:type="spellEnd"/>
            <w:r w:rsidRPr="00363FAE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363FAE">
              <w:rPr>
                <w:rFonts w:asciiTheme="minorHAnsi" w:hAnsiTheme="minorHAnsi" w:cs="Arial"/>
                <w:b/>
                <w:bCs/>
              </w:rPr>
              <w:t>Όροι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Default="00180C13" w:rsidP="00E9211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Α.0.1</w:t>
            </w:r>
          </w:p>
        </w:tc>
        <w:tc>
          <w:tcPr>
            <w:tcW w:w="5811" w:type="dxa"/>
            <w:shd w:val="clear" w:color="auto" w:fill="auto"/>
          </w:tcPr>
          <w:p w:rsidR="00180C13" w:rsidRPr="00720DE6" w:rsidRDefault="00180C13" w:rsidP="00E92114">
            <w:pPr>
              <w:rPr>
                <w:rFonts w:cs="Arial"/>
                <w:bCs/>
                <w:lang w:val="el-GR"/>
              </w:rPr>
            </w:pPr>
            <w:r w:rsidRPr="00720DE6">
              <w:rPr>
                <w:rFonts w:cs="Arial"/>
                <w:bCs/>
                <w:lang w:val="el-GR"/>
              </w:rPr>
              <w:t xml:space="preserve">Διάρκεια των προσφερόμενων υπηρεσιών μεταφοράς αρχείων </w:t>
            </w:r>
            <w:r>
              <w:rPr>
                <w:rFonts w:cs="Arial"/>
                <w:bCs/>
              </w:rPr>
              <w:t>Signiant</w:t>
            </w:r>
            <w:r w:rsidRPr="00720DE6">
              <w:rPr>
                <w:rFonts w:cs="Arial"/>
                <w:bCs/>
                <w:lang w:val="el-GR"/>
              </w:rPr>
              <w:t xml:space="preserve"> </w:t>
            </w:r>
            <w:r>
              <w:rPr>
                <w:rFonts w:cs="Arial"/>
                <w:bCs/>
              </w:rPr>
              <w:t>Media</w:t>
            </w:r>
            <w:r w:rsidRPr="00720DE6">
              <w:rPr>
                <w:rFonts w:cs="Arial"/>
                <w:bCs/>
                <w:lang w:val="el-GR"/>
              </w:rPr>
              <w:t xml:space="preserve"> </w:t>
            </w:r>
            <w:r>
              <w:rPr>
                <w:rFonts w:cs="Arial"/>
                <w:bCs/>
              </w:rPr>
              <w:t>shuttle</w:t>
            </w:r>
            <w:r w:rsidRPr="00720DE6">
              <w:rPr>
                <w:rFonts w:cs="Arial"/>
                <w:bCs/>
                <w:lang w:val="el-GR"/>
              </w:rPr>
              <w:t xml:space="preserve"> ορίζονται τα δύο  (2) έτη. </w:t>
            </w:r>
          </w:p>
        </w:tc>
        <w:tc>
          <w:tcPr>
            <w:tcW w:w="1276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363FAE" w:rsidRDefault="00180C13" w:rsidP="00E92114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Α.0.2</w:t>
            </w:r>
          </w:p>
        </w:tc>
        <w:tc>
          <w:tcPr>
            <w:tcW w:w="5811" w:type="dxa"/>
            <w:shd w:val="clear" w:color="auto" w:fill="auto"/>
          </w:tcPr>
          <w:p w:rsidR="00180C13" w:rsidRPr="00720DE6" w:rsidRDefault="00180C13" w:rsidP="00E92114">
            <w:pPr>
              <w:rPr>
                <w:rFonts w:cs="Arial"/>
                <w:bCs/>
                <w:color w:val="FF0000"/>
                <w:highlight w:val="red"/>
                <w:lang w:val="el-GR"/>
              </w:rPr>
            </w:pPr>
            <w:r w:rsidRPr="00720DE6">
              <w:rPr>
                <w:rFonts w:cs="Arial"/>
                <w:bCs/>
                <w:lang w:val="el-GR"/>
              </w:rPr>
              <w:t xml:space="preserve">Τουλάχιστον 100  άδειες χρήσης ταυτόχρονων ενεργών χρηστών,  στους οποίους θα παρέχεται </w:t>
            </w:r>
            <w:r w:rsidRPr="00720DE6">
              <w:rPr>
                <w:rFonts w:cs="Calibri"/>
                <w:lang w:val="el-GR"/>
              </w:rPr>
              <w:t>δυνατότητα ανταλλαγής αρχείων απεριόριστου μεγέθους.</w:t>
            </w:r>
          </w:p>
        </w:tc>
        <w:tc>
          <w:tcPr>
            <w:tcW w:w="1276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Cs/>
              </w:rPr>
            </w:pPr>
            <w:r w:rsidRPr="00363FAE">
              <w:rPr>
                <w:rFonts w:asciiTheme="minorHAnsi" w:hAnsiTheme="minorHAnsi" w:cs="Arial"/>
                <w:bCs/>
              </w:rPr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363FAE" w:rsidRDefault="00180C13" w:rsidP="00E921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000000"/>
              </w:rPr>
              <w:t>Α.0.3</w:t>
            </w:r>
          </w:p>
        </w:tc>
        <w:tc>
          <w:tcPr>
            <w:tcW w:w="5811" w:type="dxa"/>
          </w:tcPr>
          <w:p w:rsidR="00180C13" w:rsidRPr="00720DE6" w:rsidRDefault="00180C13" w:rsidP="00E92114">
            <w:pPr>
              <w:jc w:val="both"/>
              <w:rPr>
                <w:rFonts w:asciiTheme="minorHAnsi" w:hAnsiTheme="minorHAnsi" w:cs="Arial"/>
                <w:bCs/>
                <w:lang w:val="el-GR"/>
              </w:rPr>
            </w:pPr>
            <w:r w:rsidRPr="00720DE6">
              <w:rPr>
                <w:rFonts w:asciiTheme="minorHAnsi" w:hAnsiTheme="minorHAnsi" w:cs="Arial"/>
                <w:bCs/>
                <w:lang w:val="el-GR"/>
              </w:rPr>
              <w:t xml:space="preserve">Ο υπολογισμός της δέσμευσης αδειών χρήσης θα γίνεται  με γνώμονα το κατά περίπτωση εκάστοτε </w:t>
            </w:r>
            <w:r w:rsidRPr="00720DE6">
              <w:rPr>
                <w:rFonts w:asciiTheme="minorHAnsi" w:hAnsiTheme="minorHAnsi" w:cs="Arial"/>
                <w:b/>
                <w:bCs/>
                <w:u w:val="single"/>
                <w:lang w:val="el-GR"/>
              </w:rPr>
              <w:t>μηνιαίο</w:t>
            </w:r>
            <w:r w:rsidRPr="00720DE6">
              <w:rPr>
                <w:rFonts w:asciiTheme="minorHAnsi" w:hAnsiTheme="minorHAnsi" w:cs="Arial"/>
                <w:bCs/>
                <w:lang w:val="el-GR"/>
              </w:rPr>
              <w:t xml:space="preserve"> πλήθος μοναδικών ενεργών χρηστών στη υπηρεσία. </w:t>
            </w:r>
          </w:p>
        </w:tc>
        <w:tc>
          <w:tcPr>
            <w:tcW w:w="1276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Cs/>
              </w:rPr>
            </w:pPr>
            <w:r w:rsidRPr="00363FAE">
              <w:rPr>
                <w:rFonts w:asciiTheme="minorHAnsi" w:hAnsiTheme="minorHAnsi" w:cs="Arial"/>
                <w:bCs/>
              </w:rPr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  <w:bCs/>
              </w:rPr>
            </w:pPr>
            <w:r w:rsidRPr="00363FAE">
              <w:rPr>
                <w:rFonts w:asciiTheme="minorHAnsi" w:hAnsiTheme="minorHAnsi" w:cs="Calibri"/>
                <w:b/>
                <w:bCs/>
                <w:color w:val="000000"/>
              </w:rPr>
              <w:t>Α.1</w:t>
            </w:r>
          </w:p>
        </w:tc>
        <w:tc>
          <w:tcPr>
            <w:tcW w:w="5811" w:type="dxa"/>
            <w:shd w:val="clear" w:color="auto" w:fill="8EAADB" w:themeFill="accent5" w:themeFillTint="99"/>
            <w:noWrap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Τεχνικά</w:t>
            </w:r>
            <w:proofErr w:type="spellEnd"/>
            <w:r>
              <w:rPr>
                <w:rFonts w:asciiTheme="minorHAnsi" w:hAnsiTheme="minorHAnsi"/>
                <w:b/>
              </w:rPr>
              <w:t xml:space="preserve"> χαρα</w:t>
            </w:r>
            <w:proofErr w:type="spellStart"/>
            <w:r>
              <w:rPr>
                <w:rFonts w:asciiTheme="minorHAnsi" w:hAnsiTheme="minorHAnsi"/>
                <w:b/>
              </w:rPr>
              <w:t>κτηριστικά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363FAE" w:rsidRDefault="00180C13" w:rsidP="00E92114">
            <w:pPr>
              <w:rPr>
                <w:rFonts w:cs="Calibri"/>
                <w:color w:val="000000"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Α.1.1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Η αρχιτεκτονική της προσφερόμενης υπηρεσίας θα πρέπει να είναι τύπου </w:t>
            </w:r>
            <w:r w:rsidRPr="007B70B7">
              <w:rPr>
                <w:rFonts w:asciiTheme="minorHAnsi" w:hAnsiTheme="minorHAnsi"/>
              </w:rPr>
              <w:t>Software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 w:rsidRPr="007B70B7">
              <w:rPr>
                <w:rFonts w:asciiTheme="minorHAnsi" w:hAnsiTheme="minorHAnsi"/>
              </w:rPr>
              <w:t>as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 w:rsidRPr="007B70B7">
              <w:rPr>
                <w:rFonts w:asciiTheme="minorHAnsi" w:hAnsiTheme="minorHAnsi"/>
              </w:rPr>
              <w:t>a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 w:rsidRPr="007B70B7">
              <w:rPr>
                <w:rFonts w:asciiTheme="minorHAnsi" w:hAnsiTheme="minorHAnsi"/>
              </w:rPr>
              <w:t>Service</w:t>
            </w:r>
            <w:r w:rsidRPr="00720DE6">
              <w:rPr>
                <w:rFonts w:asciiTheme="minorHAnsi" w:hAnsiTheme="minorHAnsi"/>
                <w:lang w:val="el-GR"/>
              </w:rPr>
              <w:t xml:space="preserve"> στο σύννεφο (</w:t>
            </w:r>
            <w:r w:rsidRPr="007B70B7">
              <w:rPr>
                <w:rFonts w:asciiTheme="minorHAnsi" w:hAnsiTheme="minorHAnsi"/>
              </w:rPr>
              <w:t>cloud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 w:rsidRPr="007B70B7">
              <w:rPr>
                <w:rFonts w:asciiTheme="minorHAnsi" w:hAnsiTheme="minorHAnsi"/>
              </w:rPr>
              <w:t>native</w:t>
            </w:r>
            <w:r w:rsidRPr="00720DE6">
              <w:rPr>
                <w:rFonts w:asciiTheme="minorHAnsi" w:hAnsiTheme="minorHAnsi"/>
                <w:lang w:val="el-GR"/>
              </w:rPr>
              <w:t xml:space="preserve"> </w:t>
            </w:r>
            <w:r w:rsidRPr="007B70B7">
              <w:rPr>
                <w:rFonts w:asciiTheme="minorHAnsi" w:hAnsiTheme="minorHAnsi"/>
              </w:rPr>
              <w:t>SaaS</w:t>
            </w:r>
            <w:r w:rsidRPr="00720DE6">
              <w:rPr>
                <w:rFonts w:asciiTheme="minorHAnsi" w:hAnsiTheme="minorHAnsi"/>
                <w:lang w:val="el-GR"/>
              </w:rPr>
              <w:t>).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363FAE" w:rsidRDefault="00180C13" w:rsidP="00E92114">
            <w:pPr>
              <w:rPr>
                <w:rFonts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Α.1.2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lang w:val="el-GR"/>
              </w:rPr>
            </w:pPr>
            <w:r w:rsidRPr="00720DE6">
              <w:rPr>
                <w:lang w:val="el-GR"/>
              </w:rPr>
              <w:t xml:space="preserve">Η μεταφορά του εκάστοτε υλικού θα υλοποιείται είτε στη λογική του χρήστη-προς-χρήστη μηχανισμού, είτε με την ύπαρξη ενδιάμεσου μέσου ή άλλης υπηρεσίας αποθήκευσης 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D50002" w:rsidRDefault="00180C13" w:rsidP="00E9211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Calibri"/>
                <w:color w:val="000000"/>
              </w:rPr>
              <w:t>Α.1.3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Το περιβάλλον πρόσβασης της προσφερόμενης υπηρεσίας θα πρέπει να είναι </w:t>
            </w:r>
            <w:r>
              <w:rPr>
                <w:rFonts w:asciiTheme="minorHAnsi" w:hAnsiTheme="minorHAnsi"/>
              </w:rPr>
              <w:t>web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</w:rPr>
              <w:t>based</w:t>
            </w:r>
            <w:r w:rsidRPr="00720DE6">
              <w:rPr>
                <w:rFonts w:asciiTheme="minorHAnsi" w:hAnsiTheme="minorHAnsi"/>
                <w:lang w:val="el-GR"/>
              </w:rPr>
              <w:t xml:space="preserve">, και να </w:t>
            </w:r>
            <w:proofErr w:type="spellStart"/>
            <w:r w:rsidRPr="00720DE6">
              <w:rPr>
                <w:rFonts w:asciiTheme="minorHAnsi" w:hAnsiTheme="minorHAnsi"/>
                <w:lang w:val="el-GR"/>
              </w:rPr>
              <w:t>προσπελαύνεται</w:t>
            </w:r>
            <w:proofErr w:type="spellEnd"/>
            <w:r w:rsidRPr="00720DE6">
              <w:rPr>
                <w:rFonts w:asciiTheme="minorHAnsi" w:hAnsiTheme="minorHAnsi"/>
                <w:lang w:val="el-GR"/>
              </w:rPr>
              <w:t xml:space="preserve"> μέσω διαδικτυακού </w:t>
            </w:r>
            <w:proofErr w:type="spellStart"/>
            <w:r w:rsidRPr="00720DE6">
              <w:rPr>
                <w:rFonts w:asciiTheme="minorHAnsi" w:hAnsiTheme="minorHAnsi"/>
                <w:lang w:val="el-GR"/>
              </w:rPr>
              <w:t>φυλλομετρητή</w:t>
            </w:r>
            <w:proofErr w:type="spellEnd"/>
            <w:r w:rsidRPr="00720DE6">
              <w:rPr>
                <w:rFonts w:asciiTheme="minorHAnsi" w:hAnsiTheme="minorHAnsi"/>
                <w:lang w:val="el-GR"/>
              </w:rPr>
              <w:t xml:space="preserve"> από τους χρήστες. </w:t>
            </w:r>
          </w:p>
        </w:tc>
        <w:tc>
          <w:tcPr>
            <w:tcW w:w="1276" w:type="dxa"/>
            <w:noWrap/>
            <w:vAlign w:val="center"/>
            <w:hideMark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Calibri"/>
                <w:color w:val="000000"/>
              </w:rPr>
              <w:t>Α.1.4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Η χρήση της υπηρεσίας θα πρέπει να είναι εφικτή χωρίς εγκατάσταση (προαιρετικού ή απαιτούμενου) </w:t>
            </w:r>
            <w:r>
              <w:rPr>
                <w:rFonts w:asciiTheme="minorHAnsi" w:hAnsiTheme="minorHAnsi"/>
              </w:rPr>
              <w:t>client</w:t>
            </w:r>
            <w:r w:rsidRPr="00720DE6">
              <w:rPr>
                <w:rFonts w:asciiTheme="minorHAnsi" w:hAnsiTheme="minorHAnsi"/>
                <w:lang w:val="el-GR"/>
              </w:rPr>
              <w:t xml:space="preserve"> λογισμικού στη μεριά του χρήστη. Εξαίρεση στον παρόντα όρο, αποτελούν τα κάθε είδους </w:t>
            </w:r>
            <w:r>
              <w:rPr>
                <w:rFonts w:asciiTheme="minorHAnsi" w:hAnsiTheme="minorHAnsi"/>
              </w:rPr>
              <w:t>plug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</w:rPr>
              <w:t>ins</w:t>
            </w:r>
            <w:r w:rsidRPr="00720DE6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</w:rPr>
              <w:t>extensions</w:t>
            </w:r>
            <w:r w:rsidRPr="00720DE6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</w:rPr>
              <w:t>add</w:t>
            </w:r>
            <w:r w:rsidRPr="00720DE6">
              <w:rPr>
                <w:rFonts w:asciiTheme="minorHAnsi" w:hAnsiTheme="minorHAnsi"/>
                <w:lang w:val="el-GR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ons</w:t>
            </w:r>
            <w:proofErr w:type="spellEnd"/>
            <w:r w:rsidRPr="00720DE6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</w:rPr>
              <w:t>cookies</w:t>
            </w:r>
            <w:r w:rsidRPr="00720DE6">
              <w:rPr>
                <w:rFonts w:asciiTheme="minorHAnsi" w:hAnsiTheme="minorHAnsi"/>
                <w:lang w:val="el-GR"/>
              </w:rPr>
              <w:t xml:space="preserve">, αποκλειστικά και μόνο στην περίπτωση που αυτά περιορίζονται στο λογισμικό του εκάστοτε διαδικτυακού </w:t>
            </w:r>
            <w:proofErr w:type="spellStart"/>
            <w:r w:rsidRPr="00720DE6">
              <w:rPr>
                <w:rFonts w:asciiTheme="minorHAnsi" w:hAnsiTheme="minorHAnsi"/>
                <w:lang w:val="el-GR"/>
              </w:rPr>
              <w:t>φυλλομετρητή</w:t>
            </w:r>
            <w:proofErr w:type="spellEnd"/>
            <w:r w:rsidRPr="00720DE6">
              <w:rPr>
                <w:rFonts w:asciiTheme="minorHAnsi" w:hAnsiTheme="minorHAnsi"/>
                <w:lang w:val="el-GR"/>
              </w:rPr>
              <w:t xml:space="preserve"> που χρησιμοποιεί ο τελικός χρήστης.  </w:t>
            </w:r>
          </w:p>
        </w:tc>
        <w:tc>
          <w:tcPr>
            <w:tcW w:w="1276" w:type="dxa"/>
            <w:noWrap/>
            <w:vAlign w:val="center"/>
            <w:hideMark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9719BD" w:rsidRDefault="00180C13" w:rsidP="00E9211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Calibri"/>
                <w:color w:val="000000"/>
              </w:rPr>
              <w:t>Α.1.5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Για την προσπέλαση της υπηρεσίας θα πρέπει να απαιτείται μόνο η χρήση συγκεκριμένων </w:t>
            </w:r>
            <w:r>
              <w:rPr>
                <w:rFonts w:asciiTheme="minorHAnsi" w:hAnsiTheme="minorHAnsi"/>
              </w:rPr>
              <w:t>credentials</w:t>
            </w:r>
            <w:r w:rsidRPr="00720DE6">
              <w:rPr>
                <w:rFonts w:asciiTheme="minorHAnsi" w:hAnsiTheme="minorHAnsi"/>
                <w:lang w:val="el-GR"/>
              </w:rPr>
              <w:t xml:space="preserve"> και χωρίς την απαίτηση οποιασδήποτε άλλης παραμετροποίησης, από τη μεριά του χρήστη.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Α.1.6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Κανένας περιορισμός στο μέγεθος (επιμέρους ή συνολικό) του εκάστοτε προς μεταφορά αρχείου, ή ομάδας αυτών. 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Α.1.7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Κανένας περιορισμός στο ύψος του </w:t>
            </w:r>
            <w:r w:rsidRPr="007C1339">
              <w:rPr>
                <w:rFonts w:asciiTheme="minorHAnsi" w:hAnsiTheme="minorHAnsi"/>
              </w:rPr>
              <w:t>Bandwidth</w:t>
            </w:r>
            <w:r w:rsidRPr="00720DE6">
              <w:rPr>
                <w:rFonts w:asciiTheme="minorHAnsi" w:hAnsiTheme="minorHAnsi"/>
                <w:lang w:val="el-GR"/>
              </w:rPr>
              <w:t xml:space="preserve">, καθ’ όλη τη διάρκεια μεταφοράς οποιουδήποτε αρχείου ή ομάδας αυτών, ανεξαρτήτως χαρακτηριστικών.  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Α.1.8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>Τουλάχιστον εκατό (100) ταυτόχρονους χρήστες στο σύστημα της υπηρεσίας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Α.1.9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/>
                <w:lang w:val="el-GR"/>
              </w:rPr>
            </w:pPr>
            <w:r w:rsidRPr="00720DE6">
              <w:rPr>
                <w:rFonts w:asciiTheme="minorHAnsi" w:hAnsiTheme="minorHAnsi"/>
                <w:lang w:val="el-GR"/>
              </w:rPr>
              <w:t xml:space="preserve">Τουλάχιστον εκατό (100) δημιουργούντα διαμορφούμενα </w:t>
            </w:r>
            <w:r w:rsidRPr="008E6217">
              <w:rPr>
                <w:rFonts w:asciiTheme="minorHAnsi" w:hAnsiTheme="minorHAnsi"/>
              </w:rPr>
              <w:t>portals</w:t>
            </w:r>
            <w:r w:rsidRPr="00720DE6">
              <w:rPr>
                <w:rFonts w:asciiTheme="minorHAnsi" w:hAnsiTheme="minorHAnsi"/>
                <w:lang w:val="el-GR"/>
              </w:rPr>
              <w:t>/</w:t>
            </w:r>
            <w:r w:rsidRPr="008E6217">
              <w:rPr>
                <w:rFonts w:asciiTheme="minorHAnsi" w:hAnsiTheme="minorHAnsi"/>
              </w:rPr>
              <w:t>workspaces</w:t>
            </w:r>
            <w:r w:rsidRPr="00720DE6">
              <w:rPr>
                <w:rFonts w:asciiTheme="minorHAnsi" w:hAnsiTheme="minorHAnsi"/>
                <w:lang w:val="el-GR"/>
              </w:rPr>
              <w:t xml:space="preserve"> από τη μεριά των διαχειριστών της ΕΡΤ, ως περιβάλλοντα χρήσης της υπηρεσίας από τη μεριά των εκάστοτε τελικών χρηστών.  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D45C23" w:rsidRDefault="00180C13" w:rsidP="00E92114">
            <w:pPr>
              <w:rPr>
                <w:rFonts w:asciiTheme="minorHAnsi" w:hAnsiTheme="minorHAnsi" w:cs="Arial"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Α.1.1</w:t>
            </w:r>
            <w:r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 w:rsidRPr="00720DE6">
              <w:rPr>
                <w:rFonts w:asciiTheme="minorHAnsi" w:hAnsiTheme="minorHAnsi" w:cs="Arial"/>
                <w:lang w:val="el-GR"/>
              </w:rPr>
              <w:t xml:space="preserve">Να παρέχεται η δυνατότητα αυτοματοποιημένης διαδικασίας λήψης </w:t>
            </w:r>
            <w:proofErr w:type="spellStart"/>
            <w:r w:rsidRPr="00720DE6">
              <w:rPr>
                <w:rFonts w:asciiTheme="minorHAnsi" w:hAnsiTheme="minorHAnsi" w:cs="Arial"/>
                <w:lang w:val="el-GR"/>
              </w:rPr>
              <w:t>πολυμεσικού</w:t>
            </w:r>
            <w:proofErr w:type="spellEnd"/>
            <w:r w:rsidRPr="00720DE6">
              <w:rPr>
                <w:rFonts w:asciiTheme="minorHAnsi" w:hAnsiTheme="minorHAnsi" w:cs="Arial"/>
                <w:lang w:val="el-GR"/>
              </w:rPr>
              <w:t xml:space="preserve"> υλικού το οποίο προορίζεται για την ΕΡΤ</w:t>
            </w:r>
          </w:p>
          <w:p w:rsidR="00180C13" w:rsidRPr="00720DE6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 w:rsidRPr="00720DE6">
              <w:rPr>
                <w:rFonts w:asciiTheme="minorHAnsi" w:hAnsiTheme="minorHAnsi" w:cs="Arial"/>
                <w:lang w:val="el-GR"/>
              </w:rPr>
              <w:t xml:space="preserve">Είτε με προεπιλογή του αποθηκευτικού χώρου στον οποίον θα καταλήγουν τα εισερχόμενα αρχεία ανά προκαθορισμένου </w:t>
            </w:r>
            <w:r>
              <w:rPr>
                <w:rFonts w:asciiTheme="minorHAnsi" w:hAnsiTheme="minorHAnsi" w:cs="Arial"/>
              </w:rPr>
              <w:t>workflow</w:t>
            </w:r>
            <w:r w:rsidRPr="00720DE6">
              <w:rPr>
                <w:rFonts w:asciiTheme="minorHAnsi" w:hAnsiTheme="minorHAnsi" w:cs="Arial"/>
                <w:lang w:val="el-GR"/>
              </w:rPr>
              <w:t>, είτε με απευθείας αποστολή προς προεπιλεγμένο σημείο με την ολοκλήρωση του «ανεβάσματος»  του αρχείου από τον αποστολέα.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363FAE" w:rsidRDefault="00180C13" w:rsidP="00E92114">
            <w:pPr>
              <w:rPr>
                <w:rFonts w:cs="Calibri"/>
                <w:color w:val="000000"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Α.1.1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cs="Arial"/>
                <w:lang w:val="el-GR"/>
              </w:rPr>
            </w:pPr>
            <w:r w:rsidRPr="00720DE6">
              <w:rPr>
                <w:rFonts w:cs="Arial"/>
                <w:lang w:val="el-GR"/>
              </w:rPr>
              <w:t xml:space="preserve">Να </w:t>
            </w:r>
            <w:r w:rsidRPr="00720DE6">
              <w:rPr>
                <w:rFonts w:asciiTheme="minorHAnsi" w:hAnsiTheme="minorHAnsi" w:cs="Arial"/>
                <w:lang w:val="el-GR"/>
              </w:rPr>
              <w:t xml:space="preserve">παρέχεται </w:t>
            </w:r>
            <w:r w:rsidRPr="00720DE6">
              <w:rPr>
                <w:rFonts w:cs="Arial"/>
                <w:lang w:val="el-GR"/>
              </w:rPr>
              <w:t xml:space="preserve">η δυνατότητα, οι εκάστοτε προορισμοί αποθήκευσης (όρος Α.1.10) να αφορούν είτε τοπικό </w:t>
            </w:r>
            <w:r>
              <w:rPr>
                <w:rFonts w:cs="Arial"/>
              </w:rPr>
              <w:t>storage</w:t>
            </w:r>
            <w:r w:rsidRPr="00720DE6">
              <w:rPr>
                <w:rFonts w:cs="Arial"/>
                <w:lang w:val="el-GR"/>
              </w:rPr>
              <w:t xml:space="preserve"> στις εγκαταστάσεις της ΕΡΤ, είτε και </w:t>
            </w:r>
            <w:r>
              <w:rPr>
                <w:rFonts w:cs="Arial"/>
              </w:rPr>
              <w:t>cloud</w:t>
            </w:r>
            <w:r w:rsidRPr="00720DE6">
              <w:rPr>
                <w:rFonts w:cs="Arial"/>
                <w:lang w:val="el-GR"/>
              </w:rPr>
              <w:t xml:space="preserve"> μέσα επιλογής της ΕΡΤ.  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Α.1.1</w:t>
            </w: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5811" w:type="dxa"/>
            <w:noWrap/>
          </w:tcPr>
          <w:p w:rsidR="00180C13" w:rsidRPr="00720DE6" w:rsidRDefault="00180C13" w:rsidP="00E92114">
            <w:pPr>
              <w:rPr>
                <w:rFonts w:asciiTheme="minorHAnsi" w:hAnsiTheme="minorHAnsi" w:cs="Arial"/>
                <w:bCs/>
                <w:lang w:val="el-GR"/>
              </w:rPr>
            </w:pPr>
            <w:r w:rsidRPr="00720DE6">
              <w:rPr>
                <w:rFonts w:asciiTheme="minorHAnsi" w:hAnsiTheme="minorHAnsi" w:cs="Arial"/>
                <w:bCs/>
                <w:lang w:val="el-GR"/>
              </w:rPr>
              <w:t xml:space="preserve">Η υπηρεσία να υποστηρίζει και να ενσωματώνει, διαφανώς προς τον χρήστη, μηχανισμό </w:t>
            </w:r>
            <w:proofErr w:type="spellStart"/>
            <w:r w:rsidRPr="00720DE6">
              <w:rPr>
                <w:rFonts w:asciiTheme="minorHAnsi" w:hAnsiTheme="minorHAnsi" w:cs="Arial"/>
                <w:bCs/>
                <w:lang w:val="el-GR"/>
              </w:rPr>
              <w:t>επαναπροσπάθειας</w:t>
            </w:r>
            <w:proofErr w:type="spellEnd"/>
            <w:r w:rsidRPr="00720DE6">
              <w:rPr>
                <w:rFonts w:asciiTheme="minorHAnsi" w:hAnsiTheme="minorHAnsi" w:cs="Arial"/>
                <w:bCs/>
                <w:lang w:val="el-GR"/>
              </w:rPr>
              <w:t xml:space="preserve"> και επανεκκίνησης, από το σημείο αποτυχίας, </w:t>
            </w:r>
            <w:proofErr w:type="spellStart"/>
            <w:r w:rsidRPr="00720DE6">
              <w:rPr>
                <w:rFonts w:asciiTheme="minorHAnsi" w:hAnsiTheme="minorHAnsi" w:cs="Arial"/>
                <w:bCs/>
                <w:lang w:val="el-GR"/>
              </w:rPr>
              <w:t>διακοπτομένων</w:t>
            </w:r>
            <w:proofErr w:type="spellEnd"/>
            <w:r w:rsidRPr="00720DE6">
              <w:rPr>
                <w:rFonts w:asciiTheme="minorHAnsi" w:hAnsiTheme="minorHAnsi" w:cs="Arial"/>
                <w:bCs/>
                <w:lang w:val="el-GR"/>
              </w:rPr>
              <w:t xml:space="preserve"> για οποιοδήποτε λόγο, ροών μεταφόρτωσης ψηφιακών αρχείων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Α.1.1</w:t>
            </w: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5811" w:type="dxa"/>
          </w:tcPr>
          <w:p w:rsidR="00180C13" w:rsidRPr="00720DE6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 w:rsidRPr="00720DE6">
              <w:rPr>
                <w:rFonts w:asciiTheme="minorHAnsi" w:hAnsiTheme="minorHAnsi" w:cs="Arial"/>
                <w:lang w:val="el-GR"/>
              </w:rPr>
              <w:t xml:space="preserve">Να υποστηρίζεται μηχανισμός ενημέρωσης τελικών χρηστών, σχετικά με την ολοκλήρωση </w:t>
            </w:r>
            <w:r w:rsidRPr="00720DE6">
              <w:rPr>
                <w:rFonts w:asciiTheme="minorHAnsi" w:hAnsiTheme="minorHAnsi" w:cs="Arial"/>
                <w:bCs/>
                <w:lang w:val="el-GR"/>
              </w:rPr>
              <w:t>ροών μεταφόρτωσης ψηφιακών αρχείων.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967282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Α.</w:t>
            </w:r>
            <w:r w:rsidRPr="00363FAE">
              <w:rPr>
                <w:rFonts w:asciiTheme="minorHAnsi" w:hAnsiTheme="minorHAnsi" w:cs="Calibri"/>
                <w:b/>
                <w:bCs/>
                <w:color w:val="000000"/>
              </w:rPr>
              <w:t>2</w:t>
            </w:r>
          </w:p>
        </w:tc>
        <w:tc>
          <w:tcPr>
            <w:tcW w:w="5811" w:type="dxa"/>
            <w:shd w:val="clear" w:color="auto" w:fill="8EAADB" w:themeFill="accent5" w:themeFillTint="99"/>
            <w:noWrap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  <w:b/>
                <w:bCs/>
              </w:rPr>
            </w:pPr>
            <w:r w:rsidRPr="00363FAE">
              <w:rPr>
                <w:rFonts w:asciiTheme="minorHAnsi" w:hAnsiTheme="minorHAnsi" w:cs="Arial"/>
                <w:b/>
                <w:bCs/>
              </w:rPr>
              <w:t>ΥΠΟΣΤΗΡΙΞΗ - ΕΓΓΥΗΣΗ</w:t>
            </w:r>
          </w:p>
        </w:tc>
        <w:tc>
          <w:tcPr>
            <w:tcW w:w="1276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  <w:hideMark/>
          </w:tcPr>
          <w:p w:rsidR="00180C13" w:rsidRPr="00363FAE" w:rsidRDefault="00180C13" w:rsidP="00E92114">
            <w:pPr>
              <w:rPr>
                <w:rFonts w:asciiTheme="minorHAnsi" w:hAnsiTheme="minorHAnsi" w:cs="Arial"/>
              </w:rPr>
            </w:pPr>
            <w:r w:rsidRPr="00363FAE">
              <w:rPr>
                <w:rFonts w:asciiTheme="minorHAnsi" w:hAnsiTheme="minorHAnsi" w:cs="Calibri"/>
                <w:color w:val="000000"/>
              </w:rPr>
              <w:t>Α.2.1</w:t>
            </w:r>
          </w:p>
        </w:tc>
        <w:tc>
          <w:tcPr>
            <w:tcW w:w="5811" w:type="dxa"/>
          </w:tcPr>
          <w:p w:rsidR="00180C13" w:rsidRPr="00720DE6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 w:rsidRPr="00720DE6">
              <w:rPr>
                <w:rFonts w:asciiTheme="minorHAnsi" w:hAnsiTheme="minorHAnsi" w:cs="Arial"/>
                <w:lang w:val="el-GR"/>
              </w:rPr>
              <w:t>Ο υποψήφιος ανάδοχος θα πρέπει να προσφέρει εγγύηση καλής λειτουργίας, σχετικές αναβαθμίσεις και συντήρηση της υπηρεσίας, καθ’ όλη τη χρονική διάρκεια ισχύος της υπογεγραμμένης σύμβασης με την ΕΡΤ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A767B8">
              <w:t>ΝΑΙ</w:t>
            </w:r>
          </w:p>
        </w:tc>
        <w:tc>
          <w:tcPr>
            <w:tcW w:w="1427" w:type="dxa"/>
            <w:noWrap/>
            <w:vAlign w:val="center"/>
            <w:hideMark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363FAE" w:rsidRDefault="00180C13" w:rsidP="00E9211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80C13" w:rsidRPr="00363FAE" w:rsidTr="00E92114">
        <w:trPr>
          <w:trHeight w:val="255"/>
        </w:trPr>
        <w:tc>
          <w:tcPr>
            <w:tcW w:w="852" w:type="dxa"/>
            <w:shd w:val="clear" w:color="auto" w:fill="8EAADB" w:themeFill="accent5" w:themeFillTint="99"/>
            <w:noWrap/>
            <w:vAlign w:val="center"/>
          </w:tcPr>
          <w:p w:rsidR="00180C13" w:rsidRPr="00BA512C" w:rsidRDefault="00180C13" w:rsidP="00E92114">
            <w:pPr>
              <w:rPr>
                <w:rFonts w:cs="Arial"/>
              </w:rPr>
            </w:pPr>
            <w:r>
              <w:rPr>
                <w:rFonts w:cs="Arial"/>
              </w:rPr>
              <w:t>Α</w:t>
            </w:r>
            <w:r>
              <w:rPr>
                <w:rFonts w:asciiTheme="minorHAnsi" w:hAnsiTheme="minorHAnsi" w:cs="Arial"/>
              </w:rPr>
              <w:t>.2</w:t>
            </w:r>
            <w:r>
              <w:rPr>
                <w:rFonts w:cs="Arial"/>
              </w:rPr>
              <w:t>.2</w:t>
            </w:r>
          </w:p>
        </w:tc>
        <w:tc>
          <w:tcPr>
            <w:tcW w:w="5811" w:type="dxa"/>
          </w:tcPr>
          <w:p w:rsidR="00180C13" w:rsidRPr="00720DE6" w:rsidRDefault="00180C13" w:rsidP="00E92114">
            <w:pPr>
              <w:rPr>
                <w:rFonts w:asciiTheme="minorHAnsi" w:hAnsiTheme="minorHAnsi" w:cs="Arial"/>
                <w:lang w:val="el-GR"/>
              </w:rPr>
            </w:pPr>
            <w:r w:rsidRPr="00720DE6">
              <w:rPr>
                <w:rFonts w:asciiTheme="minorHAnsi" w:hAnsiTheme="minorHAnsi" w:cs="Arial"/>
                <w:lang w:val="el-GR"/>
              </w:rPr>
              <w:t xml:space="preserve">Ο υποψήφιος ανάδοχος θα πρέπει να προσφέρει κέντρο </w:t>
            </w:r>
            <w:proofErr w:type="spellStart"/>
            <w:r w:rsidRPr="00720DE6">
              <w:rPr>
                <w:rFonts w:asciiTheme="minorHAnsi" w:hAnsiTheme="minorHAnsi" w:cs="Arial"/>
                <w:lang w:val="el-GR"/>
              </w:rPr>
              <w:t>βλαβοληψίας</w:t>
            </w:r>
            <w:proofErr w:type="spellEnd"/>
            <w:r w:rsidRPr="00720DE6">
              <w:rPr>
                <w:rFonts w:asciiTheme="minorHAnsi" w:hAnsiTheme="minorHAnsi" w:cs="Arial"/>
                <w:lang w:val="el-GR"/>
              </w:rPr>
              <w:t>, όπως περιγράφεται στην παράγραφο 4.3</w:t>
            </w:r>
          </w:p>
        </w:tc>
        <w:tc>
          <w:tcPr>
            <w:tcW w:w="1276" w:type="dxa"/>
            <w:noWrap/>
            <w:vAlign w:val="center"/>
          </w:tcPr>
          <w:p w:rsidR="00180C13" w:rsidRDefault="00180C13" w:rsidP="00E92114">
            <w:pPr>
              <w:jc w:val="center"/>
            </w:pPr>
            <w:r w:rsidRPr="00A767B8">
              <w:t>ΝΑΙ</w:t>
            </w:r>
          </w:p>
        </w:tc>
        <w:tc>
          <w:tcPr>
            <w:tcW w:w="1427" w:type="dxa"/>
            <w:noWrap/>
            <w:vAlign w:val="center"/>
          </w:tcPr>
          <w:p w:rsidR="00180C13" w:rsidRPr="00D069C9" w:rsidRDefault="00180C13" w:rsidP="00E92114">
            <w:pPr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</w:tcPr>
          <w:p w:rsidR="00180C13" w:rsidRPr="00D069C9" w:rsidRDefault="00180C13" w:rsidP="00E92114">
            <w:pPr>
              <w:rPr>
                <w:rFonts w:cs="Arial"/>
              </w:rPr>
            </w:pPr>
          </w:p>
        </w:tc>
      </w:tr>
    </w:tbl>
    <w:p w:rsidR="00180C13" w:rsidRDefault="00180C13" w:rsidP="00180C13"/>
    <w:p w:rsidR="00180C13" w:rsidRDefault="00180C13" w:rsidP="00180C13"/>
    <w:p w:rsidR="00180C13" w:rsidRDefault="00180C13" w:rsidP="00180C13">
      <w:pPr>
        <w:ind w:firstLine="720"/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(Ημερομηνία)   </w:t>
      </w:r>
    </w:p>
    <w:p w:rsidR="00180C13" w:rsidRPr="007A5D2F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                 </w:t>
      </w:r>
    </w:p>
    <w:p w:rsidR="00180C13" w:rsidRPr="007A5D2F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</w:p>
    <w:p w:rsidR="00180C13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Ο Νόμιμος ή Εξουσιοδοτημένος Εκπρόσωπος      </w:t>
      </w:r>
    </w:p>
    <w:p w:rsidR="00180C13" w:rsidRPr="007A5D2F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                                                           </w:t>
      </w:r>
    </w:p>
    <w:p w:rsidR="00180C13" w:rsidRPr="007A5D2F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  </w:t>
      </w:r>
    </w:p>
    <w:p w:rsidR="00180C13" w:rsidRPr="007A5D2F" w:rsidRDefault="00180C13" w:rsidP="00180C13">
      <w:pPr>
        <w:jc w:val="both"/>
        <w:rPr>
          <w:rFonts w:ascii="Arial Narrow" w:hAnsi="Arial Narrow" w:cs="Arial"/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              (Όνομα Ολογράφως)</w:t>
      </w:r>
    </w:p>
    <w:p w:rsidR="00180C13" w:rsidRPr="007A5D2F" w:rsidRDefault="00180C13" w:rsidP="00180C13">
      <w:pPr>
        <w:jc w:val="both"/>
        <w:rPr>
          <w:sz w:val="20"/>
          <w:szCs w:val="20"/>
          <w:lang w:val="el-GR"/>
        </w:rPr>
      </w:pPr>
      <w:r w:rsidRPr="007A5D2F">
        <w:rPr>
          <w:rFonts w:ascii="Arial Narrow" w:hAnsi="Arial Narrow" w:cs="Arial"/>
          <w:sz w:val="20"/>
          <w:szCs w:val="20"/>
          <w:lang w:val="el-GR"/>
        </w:rPr>
        <w:t xml:space="preserve">            (Υπογραφή/Σφραγίδα) </w:t>
      </w:r>
    </w:p>
    <w:p w:rsidR="00180C13" w:rsidRPr="00180C13" w:rsidRDefault="00180C13" w:rsidP="00180C13">
      <w:bookmarkStart w:id="0" w:name="_GoBack"/>
      <w:bookmarkEnd w:id="0"/>
    </w:p>
    <w:sectPr w:rsidR="00180C13" w:rsidRPr="00180C13" w:rsidSect="00EC6E0B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0B" w:rsidRDefault="00EC6E0B" w:rsidP="00EC6E0B">
      <w:r>
        <w:separator/>
      </w:r>
    </w:p>
  </w:endnote>
  <w:endnote w:type="continuationSeparator" w:id="0">
    <w:p w:rsidR="00EC6E0B" w:rsidRDefault="00EC6E0B" w:rsidP="00EC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0B" w:rsidRPr="00EC6E0B" w:rsidRDefault="00EC6E0B">
    <w:pPr>
      <w:pStyle w:val="a4"/>
      <w:rPr>
        <w:lang w:val="el-GR"/>
      </w:rPr>
    </w:pPr>
    <w:r>
      <w:rPr>
        <w:rFonts w:asciiTheme="majorHAnsi" w:hAnsiTheme="majorHAnsi"/>
        <w:i/>
        <w:sz w:val="16"/>
        <w:szCs w:val="16"/>
        <w:lang w:val="el-GR"/>
      </w:rPr>
      <w:t>ΥΠΗΡΕΣΙΕΣ ΑΠΟΣΤΟΛΗΣ &amp; ΛΗΨΗΣ ΠΟΛΥΜΕΣΙΚΩΝ ΑΡΧΕΙΏΝ ΜΕΓΑΛΟΥ ΟΓΚΟΥ  – ΣΥΝΟΠΤΙΚΟΣ ΔΙΑΓΩΝΙΣΜΟΣ  2021</w:t>
    </w:r>
    <w:r w:rsidRPr="00A712C9">
      <w:rPr>
        <w:rFonts w:asciiTheme="majorHAnsi" w:hAnsiTheme="majorHAnsi"/>
        <w:i/>
        <w:sz w:val="16"/>
        <w:szCs w:val="16"/>
        <w:lang w:val="el-GR"/>
      </w:rPr>
      <w:t xml:space="preserve"> (</w:t>
    </w:r>
    <w:r>
      <w:rPr>
        <w:rFonts w:asciiTheme="majorHAnsi" w:hAnsiTheme="majorHAnsi"/>
        <w:i/>
        <w:sz w:val="16"/>
        <w:szCs w:val="16"/>
        <w:lang w:val="el-GR"/>
      </w:rPr>
      <w:t>ΑΠ.4.05.31.)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0B" w:rsidRDefault="00EC6E0B" w:rsidP="00EC6E0B">
      <w:r>
        <w:separator/>
      </w:r>
    </w:p>
  </w:footnote>
  <w:footnote w:type="continuationSeparator" w:id="0">
    <w:p w:rsidR="00EC6E0B" w:rsidRDefault="00EC6E0B" w:rsidP="00EC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0B" w:rsidRDefault="00EC6E0B" w:rsidP="00EC6E0B">
    <w:pPr>
      <w:pStyle w:val="a3"/>
      <w:tabs>
        <w:tab w:val="clear" w:pos="4153"/>
        <w:tab w:val="clear" w:pos="8306"/>
        <w:tab w:val="left" w:pos="2535"/>
      </w:tabs>
    </w:pPr>
    <w:r w:rsidRPr="00F02E82">
      <w:rPr>
        <w:noProof/>
        <w:lang w:val="el-GR"/>
      </w:rPr>
      <w:drawing>
        <wp:inline distT="0" distB="0" distL="0" distR="0" wp14:anchorId="0C8183FD" wp14:editId="5FB131FD">
          <wp:extent cx="1341120" cy="6096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C6E0B" w:rsidRPr="004861C7" w:rsidRDefault="00EC6E0B" w:rsidP="00EC6E0B">
    <w:pPr>
      <w:pStyle w:val="a3"/>
      <w:tabs>
        <w:tab w:val="clear" w:pos="4153"/>
        <w:tab w:val="clear" w:pos="8306"/>
        <w:tab w:val="left" w:pos="6825"/>
      </w:tabs>
      <w:rPr>
        <w:lang w:val="el-GR"/>
      </w:rPr>
    </w:pPr>
    <w:r w:rsidRPr="00793ABC">
      <w:rPr>
        <w:rFonts w:ascii="Calibri" w:hAnsi="Calibri" w:cs="Calibri"/>
        <w:noProof/>
        <w:sz w:val="14"/>
        <w:szCs w:val="14"/>
        <w:lang w:val="el-GR"/>
      </w:rPr>
      <w:t>ΕΛΛΗΝΙΚΗ ΡΑΔΙΟΦΩΝΙΑ ΤΗΛΕΟΡΑΣΗ</w:t>
    </w:r>
    <w:r w:rsidRPr="00793ABC">
      <w:rPr>
        <w:rFonts w:ascii="Tahoma" w:hAnsi="Tahoma" w:cs="Tahoma"/>
        <w:b/>
        <w:noProof/>
        <w:color w:val="1F497D"/>
        <w:sz w:val="36"/>
        <w:szCs w:val="36"/>
        <w:lang w:val="el-GR"/>
      </w:rPr>
      <w:t xml:space="preserve">                                                                      </w:t>
    </w:r>
    <w:r w:rsidRPr="00793ABC">
      <w:rPr>
        <w:rFonts w:ascii="Calibri" w:hAnsi="Calibri" w:cs="Calibri"/>
        <w:noProof/>
        <w:sz w:val="14"/>
        <w:szCs w:val="14"/>
        <w:lang w:val="el-GR"/>
      </w:rPr>
      <w:t xml:space="preserve">  </w:t>
    </w:r>
  </w:p>
  <w:p w:rsidR="00EC6E0B" w:rsidRDefault="00EC6E0B" w:rsidP="00EC6E0B">
    <w:pPr>
      <w:pStyle w:val="a3"/>
      <w:tabs>
        <w:tab w:val="clear" w:pos="4153"/>
        <w:tab w:val="clear" w:pos="8306"/>
        <w:tab w:val="left" w:pos="2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D"/>
    <w:rsid w:val="0015477D"/>
    <w:rsid w:val="00180C13"/>
    <w:rsid w:val="00223C41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C2580-9916-4492-841D-18FD976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EC6E0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EC6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6E0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EC6E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6E0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table" w:styleId="a5">
    <w:name w:val="Table Grid"/>
    <w:basedOn w:val="a1"/>
    <w:uiPriority w:val="59"/>
    <w:rsid w:val="0018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Diassou Nomikou</dc:creator>
  <cp:keywords/>
  <dc:description/>
  <cp:lastModifiedBy>Diassou Nomikou</cp:lastModifiedBy>
  <cp:revision>2</cp:revision>
  <dcterms:created xsi:type="dcterms:W3CDTF">2021-08-06T11:42:00Z</dcterms:created>
  <dcterms:modified xsi:type="dcterms:W3CDTF">2021-08-06T11:42:00Z</dcterms:modified>
</cp:coreProperties>
</file>