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20700C"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Ταχ.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Ηλ. ταχυδρομείο: </w:t>
            </w:r>
            <w:r w:rsidRPr="002D23F4">
              <w:t>psideris</w:t>
            </w:r>
            <w:r w:rsidRPr="00C85572">
              <w:rPr>
                <w:lang w:val="el-GR"/>
              </w:rPr>
              <w:t>@</w:t>
            </w:r>
            <w:r w:rsidRPr="002D23F4">
              <w:t>ert</w:t>
            </w:r>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r w:rsidRPr="002D23F4">
              <w:t>ert</w:t>
            </w:r>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20700C" w:rsidRPr="00C85572" w:rsidRDefault="0020700C" w:rsidP="0020700C">
            <w:pPr>
              <w:rPr>
                <w:lang w:val="el-GR"/>
              </w:rPr>
            </w:pPr>
            <w:bookmarkStart w:id="0" w:name="_GoBack"/>
            <w:bookmarkEnd w:id="0"/>
            <w:r w:rsidRPr="00C85572">
              <w:rPr>
                <w:b/>
                <w:bCs/>
                <w:lang w:val="el-GR"/>
              </w:rPr>
              <w:t>Β: Πληροφορίες σχετικά με τη διαδικασία σύναψης σύμβασης</w:t>
            </w:r>
          </w:p>
          <w:p w:rsidR="0020700C" w:rsidRPr="00F45F8A" w:rsidRDefault="0020700C" w:rsidP="0020700C">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sidRPr="00F45F8A">
              <w:rPr>
                <w:lang w:val="el-GR"/>
              </w:rPr>
              <w:t>Υπηρεσίες ραδιοφωνικών παραγωγών</w:t>
            </w:r>
          </w:p>
          <w:p w:rsidR="0020700C" w:rsidRPr="00C85572" w:rsidRDefault="0020700C" w:rsidP="0020700C">
            <w:pPr>
              <w:rPr>
                <w:lang w:val="el-GR"/>
              </w:rPr>
            </w:pPr>
            <w:r w:rsidRPr="002D23F4">
              <w:t>CPV</w:t>
            </w:r>
            <w:r w:rsidRPr="00C85572">
              <w:rPr>
                <w:lang w:val="el-GR"/>
              </w:rPr>
              <w:t>:</w:t>
            </w:r>
            <w:r w:rsidRPr="00C85572">
              <w:rPr>
                <w:rStyle w:val="WW8Num8z8"/>
                <w:rFonts w:eastAsia="Calibri"/>
                <w:lang w:val="el-GR"/>
              </w:rPr>
              <w:t xml:space="preserve"> </w:t>
            </w:r>
            <w:r>
              <w:rPr>
                <w:rStyle w:val="apple-converted-space"/>
                <w:rFonts w:eastAsia="Calibri"/>
                <w:lang w:val="el-GR"/>
              </w:rPr>
              <w:t>92211000-3</w:t>
            </w:r>
          </w:p>
          <w:p w:rsidR="0020700C" w:rsidRPr="0087654F" w:rsidRDefault="0020700C" w:rsidP="0020700C">
            <w:pPr>
              <w:rPr>
                <w:lang w:val="el-GR"/>
              </w:rPr>
            </w:pPr>
            <w:r w:rsidRPr="00C85572">
              <w:rPr>
                <w:lang w:val="el-GR"/>
              </w:rPr>
              <w:t>- Κωδικός στο ΚΗΜΔΗΣ:</w:t>
            </w:r>
            <w:r w:rsidRPr="00F805A5">
              <w:rPr>
                <w:lang w:val="el-GR"/>
              </w:rPr>
              <w:t>18</w:t>
            </w:r>
            <w:r>
              <w:t>REQ</w:t>
            </w:r>
            <w:r w:rsidRPr="00F805A5">
              <w:rPr>
                <w:lang w:val="el-GR"/>
              </w:rPr>
              <w:t>00</w:t>
            </w:r>
            <w:r>
              <w:rPr>
                <w:lang w:val="el-GR"/>
              </w:rPr>
              <w:t>3229333</w:t>
            </w:r>
          </w:p>
          <w:p w:rsidR="0020700C" w:rsidRPr="00C85572" w:rsidRDefault="0020700C" w:rsidP="0020700C">
            <w:pPr>
              <w:rPr>
                <w:lang w:val="el-GR"/>
              </w:rPr>
            </w:pPr>
            <w:r w:rsidRPr="00C85572">
              <w:rPr>
                <w:lang w:val="el-GR"/>
              </w:rPr>
              <w:t>- Η σύμβαση αναφέρεται σε έργα, προμήθειες, ή υπηρεσίες : Υπηρεσίες</w:t>
            </w:r>
          </w:p>
          <w:p w:rsidR="0020700C" w:rsidRPr="00C85572" w:rsidRDefault="0020700C" w:rsidP="0020700C">
            <w:pPr>
              <w:rPr>
                <w:lang w:val="el-GR"/>
              </w:rPr>
            </w:pPr>
            <w:r w:rsidRPr="00C85572">
              <w:rPr>
                <w:lang w:val="el-GR"/>
              </w:rPr>
              <w:t>- Εφόσον υφίστανται, ένδειξη ύπαρξης σχετικών τμημάτων : Δεν Υπάρχουν</w:t>
            </w:r>
          </w:p>
          <w:p w:rsidR="0020700C" w:rsidRDefault="0020700C" w:rsidP="0020700C">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A0467F" w:rsidRDefault="0020700C" w:rsidP="0020700C">
            <w:r>
              <w:rPr>
                <w:lang w:val="el-GR"/>
              </w:rPr>
              <w:t xml:space="preserve">  </w:t>
            </w:r>
            <w:r w:rsidRPr="006C5897">
              <w:rPr>
                <w:lang w:val="el-GR"/>
              </w:rPr>
              <w:t>ΑΤΕ 16-</w:t>
            </w:r>
            <w:r>
              <w:rPr>
                <w:lang w:val="el-GR"/>
              </w:rPr>
              <w:t xml:space="preserve">01957/08.05.2018  </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0700C"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20700C"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20700C"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20700C"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Ναι [] Όχι</w:t>
            </w:r>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744976" w:rsidRPr="00250012" w:rsidRDefault="00744976" w:rsidP="00744976">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αρ.πρωτ:……….. Συνοπτικού Διαγωνισμού </w:t>
      </w:r>
      <w:r w:rsidRPr="00250012">
        <w:rPr>
          <w:i/>
          <w:lang w:val="el-GR"/>
        </w:rPr>
        <w:t>με αντικείμενο την επιλογή αναδόχου για τη παροχή υπηρεσιών Ηχοληψίας Ραδιοφωνικού Προγράμματο</w:t>
      </w:r>
      <w:r>
        <w:rPr>
          <w:i/>
          <w:lang w:val="el-GR"/>
        </w:rPr>
        <w:t>ς.</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 xml:space="preserve">Ημερομηνία, τόπος και, όπου ζητείται ή είναι απαραίτητο, υπογραφή(-ές):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C5215"/>
    <w:rsid w:val="000D04C5"/>
    <w:rsid w:val="000D4BE7"/>
    <w:rsid w:val="0020700C"/>
    <w:rsid w:val="002A08C5"/>
    <w:rsid w:val="002F1C2E"/>
    <w:rsid w:val="00373C58"/>
    <w:rsid w:val="00427638"/>
    <w:rsid w:val="0055206D"/>
    <w:rsid w:val="005B5A22"/>
    <w:rsid w:val="006520F5"/>
    <w:rsid w:val="00744976"/>
    <w:rsid w:val="008C6625"/>
    <w:rsid w:val="00920552"/>
    <w:rsid w:val="00973FCF"/>
    <w:rsid w:val="009C4B63"/>
    <w:rsid w:val="00A0467F"/>
    <w:rsid w:val="00B130AD"/>
    <w:rsid w:val="00D034A8"/>
    <w:rsid w:val="00D458C4"/>
    <w:rsid w:val="00D829DA"/>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A734F6-5045-4B27-85B9-27399585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2041</Words>
  <Characters>11023</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21</cp:revision>
  <dcterms:created xsi:type="dcterms:W3CDTF">2017-01-31T13:11:00Z</dcterms:created>
  <dcterms:modified xsi:type="dcterms:W3CDTF">2018-06-08T09:04:00Z</dcterms:modified>
</cp:coreProperties>
</file>